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445" w:rsidRDefault="00350445" w:rsidP="00350445">
      <w:r w:rsidRPr="00374FA5">
        <w:t xml:space="preserve">Choose your </w:t>
      </w:r>
      <w:r w:rsidRPr="00374FA5">
        <w:rPr>
          <w:b/>
          <w:bCs/>
        </w:rPr>
        <w:t>top 3 rights</w:t>
      </w:r>
      <w:r w:rsidRPr="00374FA5">
        <w:t xml:space="preserve"> and add them to the following table.  Record the positive aspects and the negative aspects (possible infringement on others’ rights or individual needs?) of each right.  Consider the responsibilities that come with having each right and record them on the table too.  </w:t>
      </w:r>
    </w:p>
    <w:p w:rsidR="00350445" w:rsidRDefault="00350445" w:rsidP="00350445">
      <w:pPr>
        <w:rPr>
          <w:lang w:val="en-CA" w:eastAsia="en-CA"/>
        </w:rPr>
      </w:pPr>
    </w:p>
    <w:p w:rsidR="00350445" w:rsidRDefault="00350445" w:rsidP="00350445">
      <w:pPr>
        <w:rPr>
          <w:lang w:val="en-CA" w:eastAsia="en-CA"/>
        </w:rPr>
      </w:pPr>
      <w:r>
        <w:rPr>
          <w:lang w:val="en-CA" w:eastAsia="en-CA"/>
        </w:rPr>
        <w:t>Example:</w:t>
      </w:r>
    </w:p>
    <w:tbl>
      <w:tblPr>
        <w:tblpPr w:leftFromText="180" w:rightFromText="180" w:vertAnchor="page" w:horzAnchor="margin" w:tblpXSpec="center" w:tblpY="2726"/>
        <w:tblW w:w="1044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802"/>
        <w:gridCol w:w="2749"/>
        <w:gridCol w:w="1912"/>
        <w:gridCol w:w="2977"/>
      </w:tblGrid>
      <w:tr w:rsidR="00350445" w:rsidRPr="00AC1EA2" w:rsidTr="00AB68C3">
        <w:trPr>
          <w:trHeight w:val="2339"/>
        </w:trPr>
        <w:tc>
          <w:tcPr>
            <w:tcW w:w="2802" w:type="dxa"/>
            <w:shd w:val="clear" w:color="auto" w:fill="auto"/>
            <w:tcMar>
              <w:top w:w="61" w:type="dxa"/>
              <w:left w:w="92" w:type="dxa"/>
              <w:bottom w:w="61" w:type="dxa"/>
              <w:right w:w="92" w:type="dxa"/>
            </w:tcMar>
            <w:hideMark/>
          </w:tcPr>
          <w:p w:rsidR="00350445" w:rsidRDefault="00350445" w:rsidP="00AB68C3">
            <w:pPr>
              <w:rPr>
                <w:b/>
                <w:bCs/>
                <w:lang w:val="en-CA"/>
              </w:rPr>
            </w:pPr>
            <w:r>
              <w:rPr>
                <w:b/>
                <w:bCs/>
                <w:lang w:val="en-CA"/>
              </w:rPr>
              <w:t>Right:</w:t>
            </w:r>
          </w:p>
          <w:p w:rsidR="00350445" w:rsidRPr="00AC1EA2" w:rsidRDefault="00350445" w:rsidP="00AB68C3">
            <w:pPr>
              <w:rPr>
                <w:lang w:val="en-CA"/>
              </w:rPr>
            </w:pPr>
            <w:r w:rsidRPr="00AC1EA2">
              <w:rPr>
                <w:bCs/>
                <w:lang w:val="en-CA"/>
              </w:rPr>
              <w:t>Students should have the right to eat whatever they want to eat for snacks at school.</w:t>
            </w:r>
          </w:p>
        </w:tc>
        <w:tc>
          <w:tcPr>
            <w:tcW w:w="2749" w:type="dxa"/>
            <w:shd w:val="clear" w:color="auto" w:fill="auto"/>
            <w:tcMar>
              <w:top w:w="61" w:type="dxa"/>
              <w:left w:w="92" w:type="dxa"/>
              <w:bottom w:w="61" w:type="dxa"/>
              <w:right w:w="92" w:type="dxa"/>
            </w:tcMar>
            <w:hideMark/>
          </w:tcPr>
          <w:p w:rsidR="00350445" w:rsidRPr="00AC1EA2" w:rsidRDefault="00350445" w:rsidP="00AB68C3">
            <w:pPr>
              <w:rPr>
                <w:b/>
                <w:bCs/>
                <w:lang w:val="en-CA"/>
              </w:rPr>
            </w:pPr>
            <w:r>
              <w:rPr>
                <w:b/>
                <w:bCs/>
                <w:lang w:val="en-CA"/>
              </w:rPr>
              <w:t>Positive:</w:t>
            </w:r>
          </w:p>
          <w:p w:rsidR="00350445" w:rsidRPr="00AC1EA2" w:rsidRDefault="00350445" w:rsidP="00AB68C3">
            <w:pPr>
              <w:rPr>
                <w:lang w:val="en-CA"/>
              </w:rPr>
            </w:pPr>
            <w:r w:rsidRPr="00AC1EA2">
              <w:rPr>
                <w:bCs/>
                <w:lang w:val="en-CA"/>
              </w:rPr>
              <w:t xml:space="preserve">Students should feel comfortable eating whatever food they want to eat without worrying about </w:t>
            </w:r>
            <w:proofErr w:type="gramStart"/>
            <w:r w:rsidRPr="00AC1EA2">
              <w:rPr>
                <w:bCs/>
                <w:lang w:val="en-CA"/>
              </w:rPr>
              <w:t>whether or not</w:t>
            </w:r>
            <w:proofErr w:type="gramEnd"/>
            <w:r w:rsidRPr="00AC1EA2">
              <w:rPr>
                <w:bCs/>
                <w:lang w:val="en-CA"/>
              </w:rPr>
              <w:t xml:space="preserve"> others will like the smell, taste, </w:t>
            </w:r>
            <w:proofErr w:type="spellStart"/>
            <w:r w:rsidRPr="00AC1EA2">
              <w:rPr>
                <w:bCs/>
                <w:lang w:val="en-CA"/>
              </w:rPr>
              <w:t>etc</w:t>
            </w:r>
            <w:proofErr w:type="spellEnd"/>
            <w:r w:rsidRPr="00AC1EA2">
              <w:rPr>
                <w:bCs/>
                <w:lang w:val="en-CA"/>
              </w:rPr>
              <w:t xml:space="preserve"> of the food.</w:t>
            </w:r>
          </w:p>
        </w:tc>
        <w:tc>
          <w:tcPr>
            <w:tcW w:w="1912" w:type="dxa"/>
            <w:shd w:val="clear" w:color="auto" w:fill="auto"/>
            <w:tcMar>
              <w:top w:w="61" w:type="dxa"/>
              <w:left w:w="92" w:type="dxa"/>
              <w:bottom w:w="61" w:type="dxa"/>
              <w:right w:w="92" w:type="dxa"/>
            </w:tcMar>
            <w:hideMark/>
          </w:tcPr>
          <w:p w:rsidR="00350445" w:rsidRPr="00AC1EA2" w:rsidRDefault="00350445" w:rsidP="00AB68C3">
            <w:pPr>
              <w:rPr>
                <w:b/>
                <w:bCs/>
                <w:lang w:val="en-CA"/>
              </w:rPr>
            </w:pPr>
            <w:r>
              <w:rPr>
                <w:b/>
                <w:bCs/>
                <w:lang w:val="en-CA"/>
              </w:rPr>
              <w:t>Negative</w:t>
            </w:r>
          </w:p>
          <w:p w:rsidR="00350445" w:rsidRPr="00AC1EA2" w:rsidRDefault="00350445" w:rsidP="00AB68C3">
            <w:pPr>
              <w:rPr>
                <w:lang w:val="en-CA"/>
              </w:rPr>
            </w:pPr>
            <w:r w:rsidRPr="00AC1EA2">
              <w:rPr>
                <w:bCs/>
                <w:lang w:val="en-CA"/>
              </w:rPr>
              <w:t xml:space="preserve">If another student has an allergy to the food, it may be dangerous for him or her to be near the food. </w:t>
            </w:r>
          </w:p>
        </w:tc>
        <w:tc>
          <w:tcPr>
            <w:tcW w:w="2977" w:type="dxa"/>
            <w:shd w:val="clear" w:color="auto" w:fill="auto"/>
            <w:tcMar>
              <w:top w:w="61" w:type="dxa"/>
              <w:left w:w="92" w:type="dxa"/>
              <w:bottom w:w="61" w:type="dxa"/>
              <w:right w:w="92" w:type="dxa"/>
            </w:tcMar>
            <w:hideMark/>
          </w:tcPr>
          <w:p w:rsidR="00350445" w:rsidRPr="00AC1EA2" w:rsidRDefault="00350445" w:rsidP="00AB68C3">
            <w:pPr>
              <w:rPr>
                <w:b/>
                <w:bCs/>
                <w:lang w:val="en-CA"/>
              </w:rPr>
            </w:pPr>
            <w:r>
              <w:rPr>
                <w:b/>
                <w:bCs/>
                <w:lang w:val="en-CA"/>
              </w:rPr>
              <w:t>Responsibility:</w:t>
            </w:r>
          </w:p>
          <w:p w:rsidR="00350445" w:rsidRPr="00AC1EA2" w:rsidRDefault="00350445" w:rsidP="00AB68C3">
            <w:pPr>
              <w:rPr>
                <w:lang w:val="en-CA"/>
              </w:rPr>
            </w:pPr>
            <w:r w:rsidRPr="00AC1EA2">
              <w:rPr>
                <w:bCs/>
                <w:lang w:val="en-CA"/>
              </w:rPr>
              <w:t>Students should be allowed to eat whatever food they choose at school for a snack provided it does not pose a danger to any other students. All students should eat safe snacks.</w:t>
            </w:r>
          </w:p>
        </w:tc>
      </w:tr>
    </w:tbl>
    <w:tbl>
      <w:tblPr>
        <w:tblpPr w:leftFromText="180" w:rightFromText="180" w:vertAnchor="text" w:horzAnchor="margin" w:tblpXSpec="center" w:tblpY="314"/>
        <w:tblW w:w="10823" w:type="dxa"/>
        <w:tblCellMar>
          <w:top w:w="15" w:type="dxa"/>
          <w:left w:w="15" w:type="dxa"/>
          <w:bottom w:w="15" w:type="dxa"/>
          <w:right w:w="15" w:type="dxa"/>
        </w:tblCellMar>
        <w:tblLook w:val="04A0" w:firstRow="1" w:lastRow="0" w:firstColumn="1" w:lastColumn="0" w:noHBand="0" w:noVBand="1"/>
      </w:tblPr>
      <w:tblGrid>
        <w:gridCol w:w="1645"/>
        <w:gridCol w:w="2480"/>
        <w:gridCol w:w="2631"/>
        <w:gridCol w:w="4067"/>
      </w:tblGrid>
      <w:tr w:rsidR="00350445" w:rsidTr="00350445">
        <w:trPr>
          <w:trHeight w:val="684"/>
        </w:trPr>
        <w:tc>
          <w:tcPr>
            <w:tcW w:w="0" w:type="auto"/>
            <w:tcBorders>
              <w:top w:val="single" w:sz="4" w:space="0" w:color="000000"/>
              <w:left w:val="single" w:sz="4" w:space="0" w:color="000000"/>
              <w:bottom w:val="single" w:sz="4" w:space="0" w:color="000000"/>
              <w:right w:val="single" w:sz="4" w:space="0" w:color="000000"/>
            </w:tcBorders>
            <w:shd w:val="clear" w:color="auto" w:fill="FCE5CD"/>
            <w:tcMar>
              <w:top w:w="0" w:type="dxa"/>
              <w:left w:w="108" w:type="dxa"/>
              <w:bottom w:w="0" w:type="dxa"/>
              <w:right w:w="108" w:type="dxa"/>
            </w:tcMar>
            <w:hideMark/>
          </w:tcPr>
          <w:p w:rsidR="00350445" w:rsidRDefault="00350445" w:rsidP="00350445">
            <w:pPr>
              <w:pStyle w:val="NormalWeb"/>
              <w:spacing w:before="0" w:beforeAutospacing="0" w:after="0" w:afterAutospacing="0"/>
              <w:jc w:val="center"/>
            </w:pPr>
            <w:r>
              <w:rPr>
                <w:rFonts w:ascii="Alegreya" w:hAnsi="Alegreya"/>
                <w:b/>
                <w:bCs/>
                <w:color w:val="000000"/>
              </w:rPr>
              <w:t>Right</w:t>
            </w:r>
          </w:p>
        </w:tc>
        <w:tc>
          <w:tcPr>
            <w:tcW w:w="0" w:type="auto"/>
            <w:tcBorders>
              <w:top w:val="single" w:sz="4" w:space="0" w:color="000000"/>
              <w:left w:val="single" w:sz="4" w:space="0" w:color="000000"/>
              <w:bottom w:val="single" w:sz="4" w:space="0" w:color="000000"/>
              <w:right w:val="single" w:sz="4" w:space="0" w:color="000000"/>
            </w:tcBorders>
            <w:shd w:val="clear" w:color="auto" w:fill="FCE5CD"/>
            <w:tcMar>
              <w:top w:w="0" w:type="dxa"/>
              <w:left w:w="108" w:type="dxa"/>
              <w:bottom w:w="0" w:type="dxa"/>
              <w:right w:w="108" w:type="dxa"/>
            </w:tcMar>
            <w:hideMark/>
          </w:tcPr>
          <w:p w:rsidR="00350445" w:rsidRDefault="00350445" w:rsidP="00350445">
            <w:pPr>
              <w:pStyle w:val="NormalWeb"/>
              <w:spacing w:before="0" w:beforeAutospacing="0" w:after="0" w:afterAutospacing="0"/>
              <w:jc w:val="center"/>
            </w:pPr>
            <w:r>
              <w:rPr>
                <w:rFonts w:ascii="Alegreya" w:hAnsi="Alegreya"/>
                <w:b/>
                <w:bCs/>
                <w:color w:val="000000"/>
              </w:rPr>
              <w:t>Positives</w:t>
            </w:r>
          </w:p>
        </w:tc>
        <w:tc>
          <w:tcPr>
            <w:tcW w:w="0" w:type="auto"/>
            <w:tcBorders>
              <w:top w:val="single" w:sz="4" w:space="0" w:color="000000"/>
              <w:left w:val="single" w:sz="4" w:space="0" w:color="000000"/>
              <w:bottom w:val="single" w:sz="4" w:space="0" w:color="000000"/>
              <w:right w:val="single" w:sz="4" w:space="0" w:color="000000"/>
            </w:tcBorders>
            <w:shd w:val="clear" w:color="auto" w:fill="FCE5CD"/>
            <w:tcMar>
              <w:top w:w="0" w:type="dxa"/>
              <w:left w:w="108" w:type="dxa"/>
              <w:bottom w:w="0" w:type="dxa"/>
              <w:right w:w="108" w:type="dxa"/>
            </w:tcMar>
            <w:hideMark/>
          </w:tcPr>
          <w:p w:rsidR="00350445" w:rsidRDefault="00350445" w:rsidP="00350445">
            <w:pPr>
              <w:pStyle w:val="NormalWeb"/>
              <w:spacing w:before="0" w:beforeAutospacing="0" w:after="0" w:afterAutospacing="0"/>
              <w:jc w:val="center"/>
            </w:pPr>
            <w:r>
              <w:rPr>
                <w:rFonts w:ascii="Alegreya" w:hAnsi="Alegreya"/>
                <w:b/>
                <w:bCs/>
                <w:color w:val="000000"/>
              </w:rPr>
              <w:t>Negatives</w:t>
            </w:r>
          </w:p>
        </w:tc>
        <w:tc>
          <w:tcPr>
            <w:tcW w:w="0" w:type="auto"/>
            <w:tcBorders>
              <w:top w:val="single" w:sz="4" w:space="0" w:color="000000"/>
              <w:left w:val="single" w:sz="4" w:space="0" w:color="000000"/>
              <w:bottom w:val="single" w:sz="4" w:space="0" w:color="000000"/>
              <w:right w:val="single" w:sz="4" w:space="0" w:color="000000"/>
            </w:tcBorders>
            <w:shd w:val="clear" w:color="auto" w:fill="FCE5CD"/>
            <w:tcMar>
              <w:top w:w="0" w:type="dxa"/>
              <w:left w:w="108" w:type="dxa"/>
              <w:bottom w:w="0" w:type="dxa"/>
              <w:right w:w="108" w:type="dxa"/>
            </w:tcMar>
            <w:hideMark/>
          </w:tcPr>
          <w:p w:rsidR="00350445" w:rsidRDefault="00350445" w:rsidP="00350445">
            <w:pPr>
              <w:pStyle w:val="NormalWeb"/>
              <w:spacing w:before="0" w:beforeAutospacing="0" w:after="0" w:afterAutospacing="0"/>
              <w:jc w:val="center"/>
            </w:pPr>
            <w:r>
              <w:rPr>
                <w:rFonts w:ascii="Alegreya" w:hAnsi="Alegreya"/>
                <w:b/>
                <w:bCs/>
                <w:color w:val="000000"/>
              </w:rPr>
              <w:t>Responsibilities</w:t>
            </w:r>
          </w:p>
        </w:tc>
      </w:tr>
      <w:tr w:rsidR="00350445" w:rsidTr="00350445">
        <w:trPr>
          <w:trHeight w:val="2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pPr>
              <w:pStyle w:val="NormalWeb"/>
              <w:spacing w:before="0" w:beforeAutospacing="0" w:after="0" w:afterAutospacing="0"/>
            </w:pPr>
            <w:r>
              <w:rPr>
                <w:rFonts w:ascii="Alegreya" w:hAnsi="Alegreya"/>
                <w:b/>
                <w:bCs/>
                <w:color w:val="000000"/>
              </w:rPr>
              <w:t>1.</w:t>
            </w:r>
          </w:p>
          <w:p w:rsidR="00350445" w:rsidRDefault="00350445" w:rsidP="00350445">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r>
      <w:tr w:rsidR="00350445" w:rsidTr="00350445">
        <w:trPr>
          <w:trHeight w:val="20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pPr>
              <w:pStyle w:val="NormalWeb"/>
              <w:spacing w:before="0" w:beforeAutospacing="0" w:after="0" w:afterAutospacing="0"/>
            </w:pPr>
            <w:r>
              <w:rPr>
                <w:rFonts w:ascii="Alegreya" w:hAnsi="Alegreya"/>
                <w:b/>
                <w:bCs/>
                <w:color w:val="000000"/>
              </w:rPr>
              <w:t>2.</w:t>
            </w:r>
          </w:p>
          <w:p w:rsidR="00350445" w:rsidRDefault="00350445" w:rsidP="00350445">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r>
      <w:tr w:rsidR="00350445" w:rsidTr="00350445">
        <w:trPr>
          <w:trHeight w:val="20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pPr>
              <w:pStyle w:val="NormalWeb"/>
              <w:spacing w:before="0" w:beforeAutospacing="0" w:after="0" w:afterAutospacing="0"/>
            </w:pPr>
            <w:r>
              <w:rPr>
                <w:rFonts w:ascii="Alegreya" w:hAnsi="Alegreya"/>
                <w:b/>
                <w:bCs/>
                <w:color w:val="000000"/>
              </w:rPr>
              <w:t>3.</w:t>
            </w:r>
          </w:p>
          <w:p w:rsidR="00350445" w:rsidRDefault="00350445" w:rsidP="00350445">
            <w:pPr>
              <w:spacing w:after="240"/>
            </w:pPr>
            <w:r>
              <w:br/>
            </w:r>
            <w:r>
              <w:br/>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0445" w:rsidRDefault="00350445" w:rsidP="00350445"/>
        </w:tc>
      </w:tr>
    </w:tbl>
    <w:p w:rsidR="00130AAA" w:rsidRDefault="00130AAA">
      <w:bookmarkStart w:id="0" w:name="_GoBack"/>
      <w:bookmarkEnd w:id="0"/>
    </w:p>
    <w:sectPr w:rsidR="00130A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grey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45"/>
    <w:rsid w:val="00130AAA"/>
    <w:rsid w:val="00134DFA"/>
    <w:rsid w:val="003504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B29D"/>
  <w15:chartTrackingRefBased/>
  <w15:docId w15:val="{00020C66-ECE9-412F-A6AE-C5F376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4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445"/>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2018-11-28T21:24:00Z</dcterms:created>
  <dcterms:modified xsi:type="dcterms:W3CDTF">2018-11-28T21:24:00Z</dcterms:modified>
</cp:coreProperties>
</file>